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ECB4A" w14:textId="0C5C7ECD" w:rsidR="006E5E72" w:rsidRPr="00A53601" w:rsidRDefault="00A53601" w:rsidP="00A53601">
      <w:pPr>
        <w:spacing w:line="360" w:lineRule="auto"/>
        <w:rPr>
          <w:rFonts w:ascii="Calibri" w:hAnsi="Calibri" w:cs="Calibri"/>
          <w:b/>
          <w:bCs/>
          <w:sz w:val="24"/>
          <w:szCs w:val="24"/>
          <w:u w:val="single"/>
          <w:rtl/>
        </w:rPr>
      </w:pPr>
      <w:r w:rsidRPr="00A53601">
        <w:rPr>
          <w:rFonts w:ascii="Calibri" w:hAnsi="Calibri" w:cs="Calibri"/>
          <w:b/>
          <w:bCs/>
          <w:sz w:val="24"/>
          <w:szCs w:val="24"/>
          <w:u w:val="single"/>
          <w:rtl/>
        </w:rPr>
        <w:t>תקציר</w:t>
      </w:r>
    </w:p>
    <w:p w14:paraId="7827FBE1" w14:textId="77777777" w:rsidR="00A53601" w:rsidRPr="00A53601" w:rsidRDefault="00A53601" w:rsidP="00A53601">
      <w:pPr>
        <w:spacing w:line="360" w:lineRule="auto"/>
        <w:rPr>
          <w:rFonts w:ascii="Calibri" w:hAnsi="Calibri" w:cs="Calibri"/>
          <w:sz w:val="24"/>
          <w:szCs w:val="24"/>
          <w:rtl/>
        </w:rPr>
      </w:pPr>
      <w:r w:rsidRPr="00A53601">
        <w:rPr>
          <w:rFonts w:ascii="Calibri" w:hAnsi="Calibri" w:cs="Calibri"/>
          <w:sz w:val="24"/>
          <w:szCs w:val="24"/>
          <w:rtl/>
        </w:rPr>
        <w:t xml:space="preserve">ספר זה מגולל את סיפור השיח בין יהודים וגרמנים במאה ה־20 ומקפל בתוכו את סיפור המפגש ביניהם גם בחלון הזמן של השלטון הנאצי ומלחמת העולם השנייה. הדיאלוג בין יהודים וגרמנים נסוב על כל מה שניתן לדמיין ולעיתים אף מעבר לכך – קשרים מגוונים ולעיתים אינטימיים סביב תרבות, אהבות ושנאות, כסף ופוליטיקה, ריגול וניסיון לשרוד את המלחמה ולהציל. הדמויות והמפגשים יוצרים אט אט תמונה היסטורית חדשה ושונה מזאת המקובלת כיום. </w:t>
      </w:r>
    </w:p>
    <w:p w14:paraId="30F6DC27" w14:textId="77777777" w:rsidR="00A53601" w:rsidRPr="00A53601" w:rsidRDefault="00A53601" w:rsidP="00A53601">
      <w:pPr>
        <w:spacing w:line="360" w:lineRule="auto"/>
        <w:rPr>
          <w:rFonts w:ascii="Calibri" w:hAnsi="Calibri" w:cs="Calibri"/>
          <w:sz w:val="24"/>
          <w:szCs w:val="24"/>
          <w:rtl/>
        </w:rPr>
      </w:pPr>
      <w:r w:rsidRPr="00A53601">
        <w:rPr>
          <w:rFonts w:ascii="Calibri" w:hAnsi="Calibri" w:cs="Calibri"/>
          <w:sz w:val="24"/>
          <w:szCs w:val="24"/>
          <w:rtl/>
        </w:rPr>
        <w:t xml:space="preserve">במסגרת מחקר עצמאי שנמשך כ- 6 שנים נתגלו לכותבים היבטים חדשים בסיפורים מוכרים ולצידם נחשפו סיפורים חדשים שיחד יצרו מצרף מרתק של הדיאלוג בין יהודים לגרמנים. </w:t>
      </w:r>
    </w:p>
    <w:p w14:paraId="09688FED" w14:textId="77777777" w:rsidR="00A53601" w:rsidRPr="00A53601" w:rsidRDefault="00A53601" w:rsidP="00A53601">
      <w:pPr>
        <w:spacing w:line="360" w:lineRule="auto"/>
        <w:rPr>
          <w:rFonts w:ascii="Calibri" w:hAnsi="Calibri" w:cs="Calibri"/>
          <w:sz w:val="24"/>
          <w:szCs w:val="24"/>
          <w:rtl/>
        </w:rPr>
      </w:pPr>
      <w:r w:rsidRPr="00A53601">
        <w:rPr>
          <w:rFonts w:ascii="Calibri" w:hAnsi="Calibri" w:cs="Calibri"/>
          <w:sz w:val="24"/>
          <w:szCs w:val="24"/>
          <w:rtl/>
        </w:rPr>
        <w:t xml:space="preserve">מובטחת לקורא המתעניין בהיסטוריה חווית קריאה מסקרנת החל מן הכריכה הקוראת תיגר על מה שניתן להניח כאפשרי או כבלתי אפשרי בנרטיב המקובל ביחסי יהודים וגרמנים בתקופת הרייך השלישי ועד לאחרונת הדמויות . </w:t>
      </w:r>
    </w:p>
    <w:p w14:paraId="0B661CB7" w14:textId="77777777" w:rsidR="00A53601" w:rsidRPr="00A53601" w:rsidRDefault="00A53601" w:rsidP="00A53601">
      <w:pPr>
        <w:spacing w:line="360" w:lineRule="auto"/>
        <w:rPr>
          <w:rFonts w:ascii="Calibri" w:hAnsi="Calibri" w:cs="Calibri"/>
          <w:sz w:val="24"/>
          <w:szCs w:val="24"/>
          <w:rtl/>
        </w:rPr>
      </w:pPr>
      <w:r w:rsidRPr="00A53601">
        <w:rPr>
          <w:rFonts w:ascii="Calibri" w:hAnsi="Calibri" w:cs="Calibri"/>
          <w:sz w:val="24"/>
          <w:szCs w:val="24"/>
          <w:rtl/>
        </w:rPr>
        <w:t xml:space="preserve">מאחר ומדובר בספר עיון היסטורי, העובדות והתכנים נתמכים ב 500 הערות שוליים המספקות לקורא הביקורתי קרקע יציבה ומוצקה לאורך הספר. </w:t>
      </w:r>
    </w:p>
    <w:p w14:paraId="676852FF" w14:textId="77777777" w:rsidR="00A53601" w:rsidRPr="00A53601" w:rsidRDefault="00A53601" w:rsidP="00A53601">
      <w:pPr>
        <w:spacing w:line="360" w:lineRule="auto"/>
        <w:rPr>
          <w:rFonts w:ascii="Calibri" w:hAnsi="Calibri" w:cs="Calibri"/>
          <w:sz w:val="24"/>
          <w:szCs w:val="24"/>
          <w:rtl/>
        </w:rPr>
      </w:pPr>
      <w:r w:rsidRPr="00A53601">
        <w:rPr>
          <w:rFonts w:ascii="Calibri" w:hAnsi="Calibri" w:cs="Calibri"/>
          <w:sz w:val="24"/>
          <w:szCs w:val="24"/>
          <w:rtl/>
        </w:rPr>
        <w:t xml:space="preserve">סיפור העלילה של הספר עובר מדמות לדמות על בסיס ציר הזמן מתום מלחמת העולם הראשונה ב 1920 ועד להסכמי השילומים ומשפט </w:t>
      </w:r>
      <w:proofErr w:type="spellStart"/>
      <w:r w:rsidRPr="00A53601">
        <w:rPr>
          <w:rFonts w:ascii="Calibri" w:hAnsi="Calibri" w:cs="Calibri"/>
          <w:sz w:val="24"/>
          <w:szCs w:val="24"/>
          <w:rtl/>
        </w:rPr>
        <w:t>איכמן</w:t>
      </w:r>
      <w:proofErr w:type="spellEnd"/>
      <w:r w:rsidRPr="00A53601">
        <w:rPr>
          <w:rFonts w:ascii="Calibri" w:hAnsi="Calibri" w:cs="Calibri"/>
          <w:sz w:val="24"/>
          <w:szCs w:val="24"/>
          <w:rtl/>
        </w:rPr>
        <w:t xml:space="preserve">. </w:t>
      </w:r>
    </w:p>
    <w:p w14:paraId="2844FB85" w14:textId="77777777" w:rsidR="00A53601" w:rsidRPr="00A53601" w:rsidRDefault="00A53601" w:rsidP="00A53601">
      <w:pPr>
        <w:spacing w:line="360" w:lineRule="auto"/>
        <w:rPr>
          <w:rFonts w:ascii="Calibri" w:hAnsi="Calibri" w:cs="Calibri"/>
          <w:sz w:val="24"/>
          <w:szCs w:val="24"/>
          <w:rtl/>
        </w:rPr>
      </w:pPr>
      <w:r w:rsidRPr="00A53601">
        <w:rPr>
          <w:rFonts w:ascii="Calibri" w:hAnsi="Calibri" w:cs="Calibri"/>
          <w:sz w:val="24"/>
          <w:szCs w:val="24"/>
          <w:rtl/>
        </w:rPr>
        <w:t xml:space="preserve">כל פרק בספר כשלעצמו מבוסס על דמויות מפתח המובילות את הדיאלוג מול הגרמנים בנסיבות המשתנות במהירות על ציר הזמן הסוער של אירועי התקופה כולל אירועי המלחמה והשואה. מבלי משים הספר חושף את פעילותן של נשים דומיננטיות, יהודיות וגרמניות השותפות לשיח הדרמטי הרה הגורל של התקופה כגון, מגדה </w:t>
      </w:r>
      <w:proofErr w:type="spellStart"/>
      <w:r w:rsidRPr="00A53601">
        <w:rPr>
          <w:rFonts w:ascii="Calibri" w:hAnsi="Calibri" w:cs="Calibri"/>
          <w:sz w:val="24"/>
          <w:szCs w:val="24"/>
          <w:rtl/>
        </w:rPr>
        <w:t>גבלס</w:t>
      </w:r>
      <w:proofErr w:type="spellEnd"/>
      <w:r w:rsidRPr="00A53601">
        <w:rPr>
          <w:rFonts w:ascii="Calibri" w:hAnsi="Calibri" w:cs="Calibri"/>
          <w:sz w:val="24"/>
          <w:szCs w:val="24"/>
          <w:rtl/>
        </w:rPr>
        <w:t xml:space="preserve">, </w:t>
      </w:r>
      <w:proofErr w:type="spellStart"/>
      <w:r w:rsidRPr="00A53601">
        <w:rPr>
          <w:rFonts w:ascii="Calibri" w:hAnsi="Calibri" w:cs="Calibri"/>
          <w:sz w:val="24"/>
          <w:szCs w:val="24"/>
          <w:rtl/>
        </w:rPr>
        <w:t>הנזי</w:t>
      </w:r>
      <w:proofErr w:type="spellEnd"/>
      <w:r w:rsidRPr="00A53601">
        <w:rPr>
          <w:rFonts w:ascii="Calibri" w:hAnsi="Calibri" w:cs="Calibri"/>
          <w:sz w:val="24"/>
          <w:szCs w:val="24"/>
          <w:rtl/>
        </w:rPr>
        <w:t xml:space="preserve"> ברנד, </w:t>
      </w:r>
      <w:proofErr w:type="spellStart"/>
      <w:r w:rsidRPr="00A53601">
        <w:rPr>
          <w:rFonts w:ascii="Calibri" w:hAnsi="Calibri" w:cs="Calibri"/>
          <w:sz w:val="24"/>
          <w:szCs w:val="24"/>
          <w:rtl/>
        </w:rPr>
        <w:t>גיזי</w:t>
      </w:r>
      <w:proofErr w:type="spellEnd"/>
      <w:r w:rsidRPr="00A53601">
        <w:rPr>
          <w:rFonts w:ascii="Calibri" w:hAnsi="Calibri" w:cs="Calibri"/>
          <w:sz w:val="24"/>
          <w:szCs w:val="24"/>
          <w:rtl/>
        </w:rPr>
        <w:t xml:space="preserve"> </w:t>
      </w:r>
      <w:proofErr w:type="spellStart"/>
      <w:r w:rsidRPr="00A53601">
        <w:rPr>
          <w:rFonts w:ascii="Calibri" w:hAnsi="Calibri" w:cs="Calibri"/>
          <w:sz w:val="24"/>
          <w:szCs w:val="24"/>
          <w:rtl/>
        </w:rPr>
        <w:t>פלישמן</w:t>
      </w:r>
      <w:proofErr w:type="spellEnd"/>
      <w:r w:rsidRPr="00A53601">
        <w:rPr>
          <w:rFonts w:ascii="Calibri" w:hAnsi="Calibri" w:cs="Calibri"/>
          <w:sz w:val="24"/>
          <w:szCs w:val="24"/>
          <w:rtl/>
        </w:rPr>
        <w:t xml:space="preserve">, חנה </w:t>
      </w:r>
      <w:proofErr w:type="spellStart"/>
      <w:r w:rsidRPr="00A53601">
        <w:rPr>
          <w:rFonts w:ascii="Calibri" w:hAnsi="Calibri" w:cs="Calibri"/>
          <w:sz w:val="24"/>
          <w:szCs w:val="24"/>
          <w:rtl/>
        </w:rPr>
        <w:t>ארנט</w:t>
      </w:r>
      <w:proofErr w:type="spellEnd"/>
      <w:r w:rsidRPr="00A53601">
        <w:rPr>
          <w:rFonts w:ascii="Calibri" w:hAnsi="Calibri" w:cs="Calibri"/>
          <w:sz w:val="24"/>
          <w:szCs w:val="24"/>
          <w:rtl/>
        </w:rPr>
        <w:t xml:space="preserve"> ועוד. </w:t>
      </w:r>
    </w:p>
    <w:p w14:paraId="6EF640FC" w14:textId="77777777" w:rsidR="00A53601" w:rsidRPr="00A53601" w:rsidRDefault="00A53601" w:rsidP="00A53601">
      <w:pPr>
        <w:spacing w:line="360" w:lineRule="auto"/>
        <w:rPr>
          <w:rFonts w:ascii="Calibri" w:hAnsi="Calibri" w:cs="Calibri"/>
          <w:sz w:val="24"/>
          <w:szCs w:val="24"/>
        </w:rPr>
      </w:pPr>
    </w:p>
    <w:sectPr w:rsidR="00A53601" w:rsidRPr="00A53601" w:rsidSect="00165D6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01"/>
    <w:rsid w:val="00165D64"/>
    <w:rsid w:val="006E5E72"/>
    <w:rsid w:val="00A53601"/>
    <w:rsid w:val="00B412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0C3D"/>
  <w15:chartTrackingRefBased/>
  <w15:docId w15:val="{DE235AF5-E553-4232-B4D4-22016F99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A53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3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360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360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360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360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360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360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360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53601"/>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A53601"/>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A53601"/>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A53601"/>
    <w:rPr>
      <w:rFonts w:eastAsiaTheme="majorEastAsia" w:cstheme="majorBidi"/>
      <w:i/>
      <w:iCs/>
      <w:color w:val="0F4761" w:themeColor="accent1" w:themeShade="BF"/>
    </w:rPr>
  </w:style>
  <w:style w:type="character" w:customStyle="1" w:styleId="50">
    <w:name w:val="כותרת 5 תו"/>
    <w:basedOn w:val="a0"/>
    <w:link w:val="5"/>
    <w:uiPriority w:val="9"/>
    <w:semiHidden/>
    <w:rsid w:val="00A53601"/>
    <w:rPr>
      <w:rFonts w:eastAsiaTheme="majorEastAsia" w:cstheme="majorBidi"/>
      <w:color w:val="0F4761" w:themeColor="accent1" w:themeShade="BF"/>
    </w:rPr>
  </w:style>
  <w:style w:type="character" w:customStyle="1" w:styleId="60">
    <w:name w:val="כותרת 6 תו"/>
    <w:basedOn w:val="a0"/>
    <w:link w:val="6"/>
    <w:uiPriority w:val="9"/>
    <w:semiHidden/>
    <w:rsid w:val="00A53601"/>
    <w:rPr>
      <w:rFonts w:eastAsiaTheme="majorEastAsia" w:cstheme="majorBidi"/>
      <w:i/>
      <w:iCs/>
      <w:color w:val="595959" w:themeColor="text1" w:themeTint="A6"/>
    </w:rPr>
  </w:style>
  <w:style w:type="character" w:customStyle="1" w:styleId="70">
    <w:name w:val="כותרת 7 תו"/>
    <w:basedOn w:val="a0"/>
    <w:link w:val="7"/>
    <w:uiPriority w:val="9"/>
    <w:semiHidden/>
    <w:rsid w:val="00A53601"/>
    <w:rPr>
      <w:rFonts w:eastAsiaTheme="majorEastAsia" w:cstheme="majorBidi"/>
      <w:color w:val="595959" w:themeColor="text1" w:themeTint="A6"/>
    </w:rPr>
  </w:style>
  <w:style w:type="character" w:customStyle="1" w:styleId="80">
    <w:name w:val="כותרת 8 תו"/>
    <w:basedOn w:val="a0"/>
    <w:link w:val="8"/>
    <w:uiPriority w:val="9"/>
    <w:semiHidden/>
    <w:rsid w:val="00A53601"/>
    <w:rPr>
      <w:rFonts w:eastAsiaTheme="majorEastAsia" w:cstheme="majorBidi"/>
      <w:i/>
      <w:iCs/>
      <w:color w:val="272727" w:themeColor="text1" w:themeTint="D8"/>
    </w:rPr>
  </w:style>
  <w:style w:type="character" w:customStyle="1" w:styleId="90">
    <w:name w:val="כותרת 9 תו"/>
    <w:basedOn w:val="a0"/>
    <w:link w:val="9"/>
    <w:uiPriority w:val="9"/>
    <w:semiHidden/>
    <w:rsid w:val="00A53601"/>
    <w:rPr>
      <w:rFonts w:eastAsiaTheme="majorEastAsia" w:cstheme="majorBidi"/>
      <w:color w:val="272727" w:themeColor="text1" w:themeTint="D8"/>
    </w:rPr>
  </w:style>
  <w:style w:type="paragraph" w:styleId="a3">
    <w:name w:val="Title"/>
    <w:basedOn w:val="a"/>
    <w:next w:val="a"/>
    <w:link w:val="a4"/>
    <w:uiPriority w:val="10"/>
    <w:qFormat/>
    <w:rsid w:val="00A53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A536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3601"/>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A5360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53601"/>
    <w:pPr>
      <w:spacing w:before="160"/>
      <w:jc w:val="center"/>
    </w:pPr>
    <w:rPr>
      <w:i/>
      <w:iCs/>
      <w:color w:val="404040" w:themeColor="text1" w:themeTint="BF"/>
    </w:rPr>
  </w:style>
  <w:style w:type="character" w:customStyle="1" w:styleId="a8">
    <w:name w:val="ציטוט תו"/>
    <w:basedOn w:val="a0"/>
    <w:link w:val="a7"/>
    <w:uiPriority w:val="29"/>
    <w:rsid w:val="00A53601"/>
    <w:rPr>
      <w:i/>
      <w:iCs/>
      <w:color w:val="404040" w:themeColor="text1" w:themeTint="BF"/>
    </w:rPr>
  </w:style>
  <w:style w:type="paragraph" w:styleId="a9">
    <w:name w:val="List Paragraph"/>
    <w:basedOn w:val="a"/>
    <w:uiPriority w:val="34"/>
    <w:qFormat/>
    <w:rsid w:val="00A53601"/>
    <w:pPr>
      <w:ind w:left="720"/>
      <w:contextualSpacing/>
    </w:pPr>
  </w:style>
  <w:style w:type="character" w:styleId="aa">
    <w:name w:val="Intense Emphasis"/>
    <w:basedOn w:val="a0"/>
    <w:uiPriority w:val="21"/>
    <w:qFormat/>
    <w:rsid w:val="00A53601"/>
    <w:rPr>
      <w:i/>
      <w:iCs/>
      <w:color w:val="0F4761" w:themeColor="accent1" w:themeShade="BF"/>
    </w:rPr>
  </w:style>
  <w:style w:type="paragraph" w:styleId="ab">
    <w:name w:val="Intense Quote"/>
    <w:basedOn w:val="a"/>
    <w:next w:val="a"/>
    <w:link w:val="ac"/>
    <w:uiPriority w:val="30"/>
    <w:qFormat/>
    <w:rsid w:val="00A53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A53601"/>
    <w:rPr>
      <w:i/>
      <w:iCs/>
      <w:color w:val="0F4761" w:themeColor="accent1" w:themeShade="BF"/>
    </w:rPr>
  </w:style>
  <w:style w:type="character" w:styleId="ad">
    <w:name w:val="Intense Reference"/>
    <w:basedOn w:val="a0"/>
    <w:uiPriority w:val="32"/>
    <w:qFormat/>
    <w:rsid w:val="00A536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1112</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Yoav etzioni</dc:creator>
  <cp:keywords/>
  <dc:description/>
  <cp:lastModifiedBy>Yoav etzioni</cp:lastModifiedBy>
  <cp:revision>1</cp:revision>
  <dcterms:created xsi:type="dcterms:W3CDTF">2024-02-28T16:23:00Z</dcterms:created>
  <dcterms:modified xsi:type="dcterms:W3CDTF">2024-02-28T16:24:00Z</dcterms:modified>
</cp:coreProperties>
</file>